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Technická zpráva</w:t>
      </w:r>
    </w:p>
    <w:p>
      <w:pPr>
        <w:pStyle w:val="Subtitle"/>
      </w:pPr>
      <w:r>
        <w:t>Centrální vysávací systém HUSKY</w:t>
      </w:r>
    </w:p>
    <w:p>
      <w:r>
        <w:t>Samostatná profesní část techniky prostředí staveb</w:t>
      </w:r>
    </w:p>
    <w:p>
      <w:r>
        <w:rPr>
          <w:b/>
        </w:rPr>
        <w:t>Podklad pro doplnění ke konkrétní stavbě</w:t>
      </w:r>
    </w:p>
    <w:p>
      <w:r>
        <w:t>Návrh systému a technická spolupráce</w:t>
        <w:br/>
        <w:t>CVS INSTALL · Marek Jírovec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6236"/>
      </w:tblGrid>
      <w:tr>
        <w:tc>
          <w:tcPr>
            <w:tcW w:type="dxa" w:w="340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0F3F1"/>
          </w:tcPr>
          <w:p>
            <w:pPr>
              <w:spacing w:before="120" w:after="120"/>
            </w:pPr>
            <w:r>
              <w:t>Název stavby</w:t>
            </w:r>
          </w:p>
        </w:tc>
        <w:tc>
          <w:tcPr>
            <w:tcW w:type="dxa" w:w="62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20" w:after="120"/>
            </w:pPr>
            <w:r>
              <w:rPr>
                <w:color w:val="68776F"/>
              </w:rPr>
              <w:t>[doplnit]</w:t>
            </w:r>
          </w:p>
        </w:tc>
      </w:tr>
      <w:tr>
        <w:tc>
          <w:tcPr>
            <w:tcW w:type="dxa" w:w="340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0F3F1"/>
          </w:tcPr>
          <w:p>
            <w:pPr>
              <w:spacing w:before="120" w:after="120"/>
            </w:pPr>
            <w:r>
              <w:t>Projekční kancelář</w:t>
            </w:r>
          </w:p>
        </w:tc>
        <w:tc>
          <w:tcPr>
            <w:tcW w:type="dxa" w:w="62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20" w:after="120"/>
            </w:pPr>
            <w:r>
              <w:rPr>
                <w:color w:val="68776F"/>
              </w:rPr>
              <w:t>[doplnit]</w:t>
            </w:r>
          </w:p>
        </w:tc>
      </w:tr>
      <w:tr>
        <w:tc>
          <w:tcPr>
            <w:tcW w:type="dxa" w:w="340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0F3F1"/>
          </w:tcPr>
          <w:p>
            <w:pPr>
              <w:spacing w:before="120" w:after="120"/>
            </w:pPr>
            <w:r>
              <w:t>Architekt / hlavní projektant</w:t>
            </w:r>
          </w:p>
        </w:tc>
        <w:tc>
          <w:tcPr>
            <w:tcW w:type="dxa" w:w="62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20" w:after="120"/>
            </w:pPr>
            <w:r>
              <w:rPr>
                <w:color w:val="68776F"/>
              </w:rPr>
              <w:t>[doplnit]</w:t>
            </w:r>
          </w:p>
        </w:tc>
      </w:tr>
      <w:tr>
        <w:tc>
          <w:tcPr>
            <w:tcW w:type="dxa" w:w="340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0F3F1"/>
          </w:tcPr>
          <w:p>
            <w:pPr>
              <w:spacing w:before="120" w:after="120"/>
            </w:pPr>
            <w:r>
              <w:t>Investor / stavebník</w:t>
            </w:r>
          </w:p>
        </w:tc>
        <w:tc>
          <w:tcPr>
            <w:tcW w:type="dxa" w:w="62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20" w:after="120"/>
            </w:pPr>
            <w:r>
              <w:rPr>
                <w:color w:val="68776F"/>
              </w:rPr>
              <w:t>[doplnit]</w:t>
            </w:r>
          </w:p>
        </w:tc>
      </w:tr>
      <w:tr>
        <w:tc>
          <w:tcPr>
            <w:tcW w:type="dxa" w:w="340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0F3F1"/>
          </w:tcPr>
          <w:p>
            <w:pPr>
              <w:spacing w:before="120" w:after="120"/>
            </w:pPr>
            <w:r>
              <w:t>Umístění stavby</w:t>
            </w:r>
          </w:p>
        </w:tc>
        <w:tc>
          <w:tcPr>
            <w:tcW w:type="dxa" w:w="62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20" w:after="120"/>
            </w:pPr>
            <w:r>
              <w:rPr>
                <w:color w:val="68776F"/>
              </w:rPr>
              <w:t>[doplnit]</w:t>
            </w:r>
          </w:p>
        </w:tc>
      </w:tr>
      <w:tr>
        <w:tc>
          <w:tcPr>
            <w:tcW w:type="dxa" w:w="340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0F3F1"/>
          </w:tcPr>
          <w:p>
            <w:pPr>
              <w:spacing w:before="120" w:after="120"/>
            </w:pPr>
            <w:r>
              <w:t>Zpracoval</w:t>
            </w:r>
          </w:p>
        </w:tc>
        <w:tc>
          <w:tcPr>
            <w:tcW w:type="dxa" w:w="62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20" w:after="120"/>
            </w:pPr>
            <w:r>
              <w:rPr>
                <w:color w:val="68776F"/>
              </w:rPr>
              <w:t>[doplnit]</w:t>
            </w:r>
          </w:p>
        </w:tc>
      </w:tr>
      <w:tr>
        <w:tc>
          <w:tcPr>
            <w:tcW w:type="dxa" w:w="340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0F3F1"/>
          </w:tcPr>
          <w:p>
            <w:pPr>
              <w:spacing w:before="120" w:after="120"/>
            </w:pPr>
            <w:r>
              <w:t>Zkontroloval / autorizoval</w:t>
            </w:r>
          </w:p>
        </w:tc>
        <w:tc>
          <w:tcPr>
            <w:tcW w:type="dxa" w:w="62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20" w:after="120"/>
            </w:pPr>
            <w:r>
              <w:rPr>
                <w:color w:val="68776F"/>
              </w:rPr>
              <w:t>[doplnit]</w:t>
            </w:r>
          </w:p>
        </w:tc>
      </w:tr>
      <w:tr>
        <w:tc>
          <w:tcPr>
            <w:tcW w:type="dxa" w:w="340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0F3F1"/>
          </w:tcPr>
          <w:p>
            <w:pPr>
              <w:spacing w:before="120" w:after="120"/>
            </w:pPr>
            <w:r>
              <w:t>Datum zpracování</w:t>
            </w:r>
          </w:p>
        </w:tc>
        <w:tc>
          <w:tcPr>
            <w:tcW w:type="dxa" w:w="62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20" w:after="120"/>
            </w:pPr>
            <w:r>
              <w:rPr>
                <w:color w:val="68776F"/>
              </w:rPr>
              <w:t>[doplnit]</w:t>
            </w:r>
          </w:p>
        </w:tc>
      </w:tr>
      <w:tr>
        <w:tc>
          <w:tcPr>
            <w:tcW w:type="dxa" w:w="340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0F3F1"/>
          </w:tcPr>
          <w:p>
            <w:pPr>
              <w:spacing w:before="120" w:after="120"/>
            </w:pPr>
            <w:r>
              <w:t>Číslo dokumentace / revize</w:t>
            </w:r>
          </w:p>
        </w:tc>
        <w:tc>
          <w:tcPr>
            <w:tcW w:type="dxa" w:w="62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20" w:after="120"/>
            </w:pPr>
            <w:r>
              <w:rPr>
                <w:color w:val="68776F"/>
              </w:rPr>
              <w:t>[doplnit]</w:t>
            </w:r>
          </w:p>
        </w:tc>
      </w:tr>
    </w:tbl>
    <w:p>
      <w:pPr>
        <w:pStyle w:val="Heading2"/>
      </w:pPr>
      <w:r>
        <w:t>Použití dokumentu</w:t>
      </w:r>
    </w:p>
    <w:p>
      <w:r>
        <w:t>Zpráva tvoří celek s výkresem potrubního rozvodu, legendou, výpisem prvků a technickými podklady vybraného zařízení. Před použitím ji doplní a ověří odpovědný projektant konkrétní stavby.</w:t>
      </w:r>
    </w:p>
    <w:p>
      <w:r>
        <w:rPr>
          <w:sz w:val="18"/>
        </w:rPr>
        <w:t>Technický podklad: HUSKY / NEWAG Praha spol. s r.o.</w:t>
        <w:br/>
        <w:t>Firemní úprava šablony: CVS INSTALL · 30. 9. 2026</w:t>
      </w:r>
    </w:p>
    <w:p>
      <w:pPr>
        <w:pStyle w:val="Heading1"/>
        <w:pageBreakBefore/>
      </w:pPr>
      <w:r>
        <w:t>1. Účel a rozsah dokumentace</w:t>
      </w:r>
    </w:p>
    <w:p>
      <w:r>
        <w:t>Tato technická zpráva řeší centrální vysávací systém v objektu pro bydlení. Je určena jako profesní část projektové dokumentace a tvoří jeden celek s výkresem potrubního rozvodu, legendou, výpisem prvků a technickými podklady vybraného zařízení.</w:t>
      </w:r>
    </w:p>
    <w:p>
      <w:r>
        <w:t>Konkrétní trasy, dimenze potrubí, umístění a počet vysavačových zásuvek a dalších koncových prvků, poloha sací jednotky, způsob výfuku, ovládací vedení, požadavky na napájení a typ zařízení jsou určeny výkresovou částí a technickou specifikací dodávky. Údaje uvedené v těchto projektově specifických podkladech se do této zprávy znovu nepřepisují.</w:t>
      </w:r>
    </w:p>
    <w:p>
      <w:r>
        <w:t>Dokumentace neřeší návrh stavebních nosných konstrukcí, samostatnou část elektroinstalace, vzduchotechniku budovy ani požárně bezpečnostní řešení. Stanoví však požadavky centrálního vysávání na tyto navazující části a profese.</w:t>
      </w:r>
    </w:p>
    <w:p>
      <w:r>
        <w:t>Šablona může být použita pouze po kontrole a koordinaci odpovědným projektantem konkrétní stavby. Součástí projektové dokumentace se stává až po jejím začlenění, ověření a autorizaci osobou oprávněnou podle právních předpisů.</w:t>
      </w:r>
    </w:p>
    <w:p>
      <w:pPr>
        <w:pStyle w:val="Heading1"/>
      </w:pPr>
      <w:r>
        <w:t>2. Výchozí podklady</w:t>
      </w:r>
    </w:p>
    <w:p>
      <w:r>
        <w:t>Podkladem pro návrh jsou zejména:</w:t>
      </w:r>
    </w:p>
    <w:p>
      <w:pPr>
        <w:pStyle w:val="ListBullet"/>
      </w:pPr>
      <w:r>
        <w:t>aktuální stavební a architektonické výkresy objektu;</w:t>
      </w:r>
    </w:p>
    <w:p>
      <w:pPr>
        <w:pStyle w:val="ListBullet"/>
      </w:pPr>
      <w:r>
        <w:t>požadavky investora a způsob předpokládaného užívání;</w:t>
      </w:r>
    </w:p>
    <w:p>
      <w:pPr>
        <w:pStyle w:val="ListBullet"/>
      </w:pPr>
      <w:r>
        <w:t>koordinace s nosnými konstrukcemi, skladbami podlah, podhledy a ostatními instalacemi;</w:t>
      </w:r>
    </w:p>
    <w:p>
      <w:pPr>
        <w:pStyle w:val="ListBullet"/>
      </w:pPr>
      <w:r>
        <w:t>požárně bezpečnostní řešení stavby, je-li pro stavbu zpracováno;</w:t>
      </w:r>
    </w:p>
    <w:p>
      <w:pPr>
        <w:pStyle w:val="ListBullet"/>
      </w:pPr>
      <w:r>
        <w:t>projekt elektroinstalace a případně projekt větrání;</w:t>
      </w:r>
    </w:p>
    <w:p>
      <w:pPr>
        <w:pStyle w:val="ListBullet"/>
      </w:pPr>
      <w:r>
        <w:t>technické listy, montážní předpisy a návody výrobce vybraného systému a sací jednotky;</w:t>
      </w:r>
    </w:p>
    <w:p>
      <w:pPr>
        <w:pStyle w:val="ListBullet"/>
      </w:pPr>
      <w:r>
        <w:t>výkres potrubního rozvodu, legenda a výpis prvků centrálního vysávání, který není součástí této dokumentace.</w:t>
      </w:r>
    </w:p>
    <w:p>
      <w:r>
        <w:t>Před zahájením montáže musí dodavatel ověřit soulad výkresu se skutečným provedením stavby. Zjištěné kolize nebo změny se nesmějí řešit svévolnou změnou trasy, dimenze nebo umístění prvků; musí být projednány s odpovědným projektantem a dotčenými profesemi.</w:t>
      </w:r>
    </w:p>
    <w:p>
      <w:pPr>
        <w:pStyle w:val="Heading1"/>
        <w:pageBreakBefore/>
      </w:pPr>
      <w:r>
        <w:t>3. Právní a technické požadavky</w:t>
      </w:r>
    </w:p>
    <w:p>
      <w:r>
        <w:t>Návrh a provedení se řídí zejména těmito předpisy v účinném znění:</w:t>
      </w:r>
    </w:p>
    <w:p>
      <w:pPr>
        <w:pStyle w:val="ListBullet"/>
      </w:pPr>
      <w:r>
        <w:t>zákonem č. 283/2021 Sb., stavební zákon;</w:t>
      </w:r>
    </w:p>
    <w:p>
      <w:pPr>
        <w:pStyle w:val="ListBullet"/>
      </w:pPr>
      <w:r>
        <w:t>vyhláškou č. 131/2024 Sb., o dokumentaci staveb;</w:t>
      </w:r>
    </w:p>
    <w:p>
      <w:pPr>
        <w:pStyle w:val="ListBullet"/>
      </w:pPr>
      <w:r>
        <w:t>vyhláškou č. 146/2024 Sb., o požadavcích na výstavbu;</w:t>
      </w:r>
    </w:p>
    <w:p>
      <w:pPr>
        <w:pStyle w:val="ListBullet"/>
      </w:pPr>
      <w:r>
        <w:t>zákonem č. 133/1985 Sb., o požární ochraně, a vyhláškou č. 23/2008 Sb., o technických podmínkách požární ochrany staveb;</w:t>
      </w:r>
    </w:p>
    <w:p>
      <w:pPr>
        <w:pStyle w:val="ListBullet"/>
      </w:pPr>
      <w:r>
        <w:t>zákonem č. 258/2000 Sb., o ochraně veřejného zdraví, a nařízením vlády č. 272/2011 Sb., o ochraně zdraví před nepříznivými účinky hluku a vibrací;</w:t>
      </w:r>
    </w:p>
    <w:p>
      <w:pPr>
        <w:pStyle w:val="ListBullet"/>
      </w:pPr>
      <w:r>
        <w:t>zákonem č. 90/2016 Sb., o posuzování shody stanovených výrobků při jejich dodávání na trh, nařízením vlády č. 117/2016 Sb. a nařízením vlády č. 118/2016 Sb.;</w:t>
      </w:r>
    </w:p>
    <w:p>
      <w:pPr>
        <w:pStyle w:val="ListBullet"/>
      </w:pPr>
      <w:r>
        <w:t>zákonem č. 250/2021 Sb., nařízením vlády č. 190/2022 Sb. a nařízením vlády č. 194/2022 Sb., jsou-li na prováděné elektrické práce a zařízení použitelné;</w:t>
      </w:r>
    </w:p>
    <w:p>
      <w:pPr>
        <w:pStyle w:val="ListBullet"/>
      </w:pPr>
      <w:r>
        <w:t>zákonem č. 309/2006 Sb. a nařízením vlády č. 591/2006 Sb. při provádění prací na staveništi;</w:t>
      </w:r>
    </w:p>
    <w:p>
      <w:pPr>
        <w:pStyle w:val="ListBullet"/>
      </w:pPr>
      <w:r>
        <w:t>zákonem č. 541/2020 Sb., o odpadech.</w:t>
      </w:r>
    </w:p>
    <w:p>
      <w:r>
        <w:t>Použijí se české technické normy a normové hodnoty vztahující se ke konkrétnímu provedení, zejména normy pro elektrické instalace nízkého napětí, bezpečnost elektrických spotřebičů, ochranu proti hluku, požární bezpečnost staveb a požární utěsnění prostupů. Pro vybranou sací jednotku a příslušenství jsou rozhodující normy uvedené v EU prohlášení o shodě výrobce. Pro elektrickou instalaci jsou rozhodující normy uvedené v příslušné profesní části elektro a pro požární opatření normy a klasifikace stanovené požárně bezpečnostním řešením.</w:t>
      </w:r>
    </w:p>
    <w:p>
      <w:r>
        <w:t>Použité výrobky musí být vhodné pro určené použití, mít doložené požadované vlastnosti a být instalovány v souladu s dokumentací výrobce. Nelze zaměňovat součásti různých potrubních systémů, pokud jejich vzájemnou kompatibilitu výslovně nepotvrdí výrobce nebo dodavatel systému.</w:t>
      </w:r>
    </w:p>
    <w:p>
      <w:pPr>
        <w:pStyle w:val="Heading1"/>
      </w:pPr>
      <w:r>
        <w:t>4. Popis systému</w:t>
      </w:r>
    </w:p>
    <w:p>
      <w:r>
        <w:t>Centrální vysávací systém tvoří zejména:</w:t>
      </w:r>
    </w:p>
    <w:p>
      <w:pPr>
        <w:pStyle w:val="ListBullet"/>
      </w:pPr>
      <w:r>
        <w:t>sací jednotka s odlučováním a filtrací nečistot;</w:t>
      </w:r>
    </w:p>
    <w:p>
      <w:pPr>
        <w:pStyle w:val="ListBullet"/>
      </w:pPr>
      <w:r>
        <w:t>sací potrubní rozvod a systémové tvarovky;</w:t>
      </w:r>
    </w:p>
    <w:p>
      <w:pPr>
        <w:pStyle w:val="ListBullet"/>
      </w:pPr>
      <w:r>
        <w:t>vysavačové zásuvky, případně zásuvky se zatahovací hadicí nebo podlahové či štěrbinové sací prvky;</w:t>
      </w:r>
    </w:p>
    <w:p>
      <w:pPr>
        <w:pStyle w:val="ListBullet"/>
      </w:pPr>
      <w:r>
        <w:t>ovládací vedení a spínací prvky;</w:t>
      </w:r>
    </w:p>
    <w:p>
      <w:pPr>
        <w:pStyle w:val="ListBullet"/>
      </w:pPr>
      <w:r>
        <w:t>výfukové potrubí a koncový prvek, je-li venkovní výfuk součástí navrženého zařízení;</w:t>
      </w:r>
    </w:p>
    <w:p>
      <w:pPr>
        <w:pStyle w:val="ListBullet"/>
      </w:pPr>
      <w:r>
        <w:t>upevňovací, čisticí, akustické a požární prvky podle konkrétního umístění.</w:t>
      </w:r>
    </w:p>
    <w:p>
      <w:r>
        <w:t>Systém je určen k úklidu způsobem dovoleným výrobcem vybrané jednotky. Není-li výslovně stanoveno jinak, považuje se za systém pro vysávání běžných suchých nečistot v domácnosti.</w:t>
      </w:r>
    </w:p>
    <w:p>
      <w:pPr>
        <w:pStyle w:val="Heading1"/>
        <w:pageBreakBefore/>
      </w:pPr>
      <w:r>
        <w:t>5. Návrhové zásady</w:t>
      </w:r>
    </w:p>
    <w:p>
      <w:pPr>
        <w:pStyle w:val="Heading2"/>
      </w:pPr>
      <w:r>
        <w:t>5.1 Dimenzování a výkon</w:t>
      </w:r>
    </w:p>
    <w:p>
      <w:r>
        <w:t>Sací jednotka a potrubní rozvod musí být navrženy s ohledem na nejnepříznivější sací trasu, ekvivalentní délku potrubí a tvarovek, počet a druh koncových prvků, požadovaný podtlak a průtok a předpokládaný počet současně používaných míst. Návrh musí odpovídat pravidlům a výkonovým tabulkám výrobce systému.</w:t>
      </w:r>
    </w:p>
    <w:p>
      <w:r>
        <w:t>Není-li ve výkresu nebo technické specifikaci výslovně uvedeno víceuživatelské provedení, předpokládá se současné použití pouze jednoho sacího místa.</w:t>
      </w:r>
    </w:p>
    <w:p>
      <w:r>
        <w:t>Dosah hadic a rozmístění koncových prvků musí umožnit obsloužení určených ploch. Ověření dosahu se provádí z výkresu s ohledem na dveře, vestavěný nábytek, schodiště a jiné překážky.</w:t>
      </w:r>
    </w:p>
    <w:p>
      <w:pPr>
        <w:pStyle w:val="Heading2"/>
      </w:pPr>
      <w:r>
        <w:t>5.2 Potrubí a tvarovky</w:t>
      </w:r>
    </w:p>
    <w:p>
      <w:r>
        <w:t>Potrubí a tvarovky musí být určeny pro centrální vysávání, mít hladký vnitřní povrch, dostatečnou mechanickou odolnost a trvale těsné spoje. Materiál, jmenovitý rozměr a způsob spojování určuje výkres a systémový montážní předpis.</w:t>
      </w:r>
    </w:p>
    <w:p>
      <w:r>
        <w:t>Trasy musí být co nejkratší a plynulé. Změny směru, odbočky a napojení se provedou systémovými tvarovkami v orientaci podporující proudění nečistot. Krátký bezpečnostní oblouk lze použít pouze v místě, pro které jej připouští systémový předpis; v ostatních částech rozvodu se použijí tvarovky vhodné pro přepravu nečistot bez zvýšeného rizika ucpávání.</w:t>
      </w:r>
    </w:p>
    <w:p>
      <w:r>
        <w:t>Potrubí musí být upevněno tak, aby nebylo namáháno pohybem stavebních konstrukcí, vlastní tíhou, následnými stavebními pracemi ani teplotními změnami. V místech dilatačních celků musí být řešena možnost vzájemného pohybu konstrukcí. Potrubí uložené v podlaze nesmí zhoršit únosnost, tloušťku ani akustickou funkci podlahové skladby.</w:t>
      </w:r>
    </w:p>
    <w:p>
      <w:r>
        <w:t>Spoje musí být provedeny čistě, souose a bez vnitřních výstupků. Do potrubí nesmí proniknout lepidlo, stavební nečistoty ani voda. Během výstavby musí být všechny otevřené konce uzavřeny.</w:t>
      </w:r>
    </w:p>
    <w:p>
      <w:pPr>
        <w:pStyle w:val="Heading2"/>
      </w:pPr>
      <w:r>
        <w:t>5.3 Vedení ve stavebních konstrukcích</w:t>
      </w:r>
    </w:p>
    <w:p>
      <w:r>
        <w:t>Trasy mohou být vedeny v instalačních předstěnách, podhledech, podlahových skladbách, instalačních šachtách nebo drážkách, pokud to umožňuje stavební, statické, akustické a požární řešení objektu.</w:t>
      </w:r>
    </w:p>
    <w:p>
      <w:r>
        <w:t>Zásahy do nosných konstrukcí, předpjatých prvků, věnců, překladů, průvlaků nebo stropních konstrukcí lze provést pouze v místech a způsobem schváleným projektantem příslušné konstrukce. Dodatečné jádrové vrtání nebo sekání do nosných konstrukcí bez tohoto souhlasu je nepřípustné.</w:t>
      </w:r>
    </w:p>
    <w:p>
      <w:r>
        <w:t>Prostupy musí být chráněny proti poškození potrubí a dokončeny s ohledem na požadovanou vzduchotěsnost, vodotěsnost, parotěsnost, tepelnou ochranu, akustické vlastnosti a požární odolnost dotčené konstrukce.</w:t>
      </w:r>
    </w:p>
    <w:p>
      <w:r>
        <w:t>Před zakrytím musí být zkontrolována trasa, upevnění, průchodnost a těsnost rozvodu. Doporučuje se pořídit fotodokumentaci a skutečné provedení zakreslit do dokumentace.</w:t>
      </w:r>
    </w:p>
    <w:p>
      <w:pPr>
        <w:pStyle w:val="Heading2"/>
      </w:pPr>
      <w:r>
        <w:t>5.4 Koncové prvky</w:t>
      </w:r>
    </w:p>
    <w:p>
      <w:r>
        <w:t>Koncové prvky musí být osazeny v polohách stanovených výkresem, pevně ukotveny, chráněny během dokončovacích prací a po dokončení lícovat s finálním povrchem. Montážní hloubka musí odpovídat typu prvku a skladbě stěny nebo podlahy.</w:t>
      </w:r>
    </w:p>
    <w:p>
      <w:r>
        <w:t>Zatahovací hadice, štěrbinové zásuvky a jiné speciální prvky se instalují pouze při dodržení prostorových, směrových a délkových požadavků výrobce. Trasa pro zatahovací hadici musí umožnit její volný pohyb bez kolizí s ostatními instalacemi.</w:t>
      </w:r>
    </w:p>
    <w:p>
      <w:pPr>
        <w:pStyle w:val="Heading2"/>
        <w:pageBreakBefore/>
      </w:pPr>
      <w:r>
        <w:t>5.5 Sací jednotka</w:t>
      </w:r>
    </w:p>
    <w:p>
      <w:r>
        <w:t>Sací jednotka se osadí na místě určeném výkresem. Místo musí být suché, chráněné před mrazem a povětrností, přístupné pro obsluhu, vyprazdňování nádoby, výměnu filtrů a servis. Musí být dodrženy montážní vzdálenosti, požadavky na větrání a únosnost podkladu stanovené výrobcem.</w:t>
      </w:r>
    </w:p>
    <w:p>
      <w:r>
        <w:t>Jednotka a potrubí se upevní tak, aby se omezil přenos hluku a vibrací do stavebních konstrukcí. Pružné nebo tlumicí prvky lze použít pouze v provedení vhodném pro daný systém a podle pokynů výrobce.</w:t>
      </w:r>
    </w:p>
    <w:p>
      <w:r>
        <w:t>Sací jednotka nesmí být umístěna v prostoru s nebezpečím výbuchu, v nepříznivém prostředí nebo v jiném místě, pro které není výrobcem určena.</w:t>
      </w:r>
    </w:p>
    <w:p>
      <w:pPr>
        <w:pStyle w:val="Heading2"/>
      </w:pPr>
      <w:r>
        <w:t>5.6 Výfuk vzduchu</w:t>
      </w:r>
    </w:p>
    <w:p>
      <w:r>
        <w:t>Způsob odvodu vzduchu určuje vybraný typ jednotky a výkresová část. Je-li navržen výfuk mimo budovu, musí být potrubí provedeno v dimenzi, délce a materiálu předepsaném výrobcem. Výústka musí být umístěna tak, aby odváděný vzduch, prach a hluk neobtěžovaly uživatele stavby ani okolí a aby nedocházelo k nasávání odváděného vzduchu zpět do budovy.</w:t>
      </w:r>
    </w:p>
    <w:p>
      <w:r>
        <w:t>Výfuk se nesmí bez samostatného posouzení napojit do komína, kouřovodu, společného větracího potrubí, chráněné únikové cesty ani do potrubí zařízení pro odvod kouře a tepla. Vyústění do společné instalační šachty nebo jiného uzavřeného prostoru je přípustné pouze tehdy, je-li takové řešení výslovně navrženo a požárně, hygienicky a akusticky posouzeno.</w:t>
      </w:r>
    </w:p>
    <w:p>
      <w:r>
        <w:t>Prostup obvodovým pláštěm musí být stavebně zajištěn a utěsněn tak, aby nebyla zhoršena ochrana proti vodě, vzduchotěsnost, parotěsnost ani tepelnětechnické vlastnosti obálky.</w:t>
      </w:r>
    </w:p>
    <w:p>
      <w:pPr>
        <w:pStyle w:val="Heading2"/>
      </w:pPr>
      <w:r>
        <w:t>5.7 Elektrické napájení a ovládání</w:t>
      </w:r>
    </w:p>
    <w:p>
      <w:r>
        <w:t>Napájecí napětí, příkon, způsob připojení, jištění, charakteristika jisticího prvku, ochrana proudovým chráničem a případné požadavky na vypnutí určuje technický list jednotky a projekt elektroinstalace. Tyto parametry nelze stanovit univerzálně bez znalosti konkrétního zařízení a elektrické instalace stavby.</w:t>
      </w:r>
    </w:p>
    <w:p>
      <w:pPr>
        <w:pStyle w:val="ListBullet"/>
      </w:pPr>
      <w:r>
        <w:t>V místě instalace agregátu (max. 1 m od stroje, mimo svislou osu pod strojem) připravit samostatnou elektrickou zásuvku 230 V / 16 A (samostatný jistič s charakteristikou C).</w:t>
      </w:r>
    </w:p>
    <w:p>
      <w:pPr>
        <w:pStyle w:val="ListBullet"/>
      </w:pPr>
      <w:r>
        <w:t>Pro 230V jednotky řady Vision 2 a Vision 2 Lite: 230 V / 16 A (samostatný jistič s charakteristikou C).</w:t>
      </w:r>
    </w:p>
    <w:p>
      <w:pPr>
        <w:pStyle w:val="ListBullet"/>
      </w:pPr>
      <w:r>
        <w:t>Pro 400V jednotky (např. X-Pert): 400 V / 16 A (jistič s charakteristikou C).</w:t>
      </w:r>
    </w:p>
    <w:p>
      <w:pPr>
        <w:pStyle w:val="ListBullet"/>
      </w:pPr>
      <w:r>
        <w:t>Propojení ovládacího vedení 24 V od zásuvkových bodů HZ a VacPan k agregátu vodičem o průřezu SEKFI 2×0,80 mm² pro malé napětí ovládacího okruhu 24 V.</w:t>
      </w:r>
    </w:p>
    <w:p>
      <w:r>
        <w:t>Napájecí místo musí být přístupné a umístěné v dosahu přívodu jednotky, avšak tak, aby nebylo namáháno, zakryto jednotkou ani vystaveno nepříznivým vlivům. Pevné elektrické připojení, úpravu obvodu a ověření elektrické instalace provede odborně způsobilá osoba.</w:t>
      </w:r>
    </w:p>
    <w:p>
      <w:r>
        <w:t>Ovládací vedení zásuvek se provede podle požadavků výrobce. Jeho napětí, typ a průřez vodičů musí odpovídat vybranému systému. Při souběhu nebo křížení se silovým vedením musí být dodrženo bezpečné oddělení a podmínky vzájemného neovlivňování.</w:t>
      </w:r>
    </w:p>
    <w:p>
      <w:pPr>
        <w:pStyle w:val="Heading1"/>
        <w:pageBreakBefore/>
      </w:pPr>
      <w:r>
        <w:t>6. Koordinace s ostatními profesemi</w:t>
      </w:r>
    </w:p>
    <w:p>
      <w:pPr>
        <w:pStyle w:val="Heading2"/>
      </w:pPr>
      <w:r>
        <w:t>6.1 Stavební část</w:t>
      </w:r>
    </w:p>
    <w:p>
      <w:r>
        <w:t>Stavební část zajistí potřebné prostupy, drážky, montážní prostory, nosný podklad pro jednotku a konečné začištění prostupů. Potrubí musí být před zakrytím chráněno proti posunu a mechanickému poškození. Zakrytí je možné až po provedení předepsaných kontrol.</w:t>
      </w:r>
    </w:p>
    <w:p>
      <w:pPr>
        <w:pStyle w:val="Heading2"/>
      </w:pPr>
      <w:r>
        <w:t>6.2 Elektroinstalace</w:t>
      </w:r>
    </w:p>
    <w:p>
      <w:r>
        <w:t>Projekt elektroinstalace převezme skutečné požadavky vybrané sací jednotky a navrhne napájecí obvod, ochrany a způsob připojení. Případná změna typu jednotky musí být před realizací znovu posouzena z hlediska příkonu, rozběhového proudu a jištění.</w:t>
      </w:r>
    </w:p>
    <w:p>
      <w:pPr>
        <w:pStyle w:val="Heading2"/>
      </w:pPr>
      <w:r>
        <w:t>6.3 Větrání a spotřebiče paliv</w:t>
      </w:r>
    </w:p>
    <w:p>
      <w:r>
        <w:t>Provoz centrálního vysávání nesmí vytvářet nebezpečný podtlak ani narušovat funkci větrání nebo bezpečný odvod spalin. V objektech se spotřebiči odebírajícími spalovací vzduch z vnitřního prostoru musí být souběžný provoz posouzen příslušným projektantem. Podle výsledku se zajistí přívod náhradního vzduchu, provozní blokace nebo jiné bezpečnostní opatření.</w:t>
      </w:r>
    </w:p>
    <w:p>
      <w:pPr>
        <w:pStyle w:val="Heading2"/>
      </w:pPr>
      <w:r>
        <w:t>6.4 Požární bezpečnost</w:t>
      </w:r>
    </w:p>
    <w:p>
      <w:r>
        <w:t>Vedení potrubí a kabelů musí být koordinováno s požárně bezpečnostním řešením. Prostup požárně dělicí konstrukcí musí být utěsněn odzkoušeným a klasifikovaným systémem vhodným pro konkrétní druh potrubí, rozměr, konstrukci a požadovanou požární odolnost. Nelze automaticky předpokládat, že pro každou situaci postačí požární manžeta.</w:t>
      </w:r>
    </w:p>
    <w:p>
      <w:r>
        <w:t>Požární ucpávka musí být provedena oprávněným nebo výrobcem proškoleným zhotovitelem podle podmínek klasifikace a montážního předpisu. Je-li to právním předpisem požadováno, označí se štítkem s údaji o požární odolnosti, typu ucpávky, datu provedení, zhotoviteli a výrobci systému. Doklady o použitém systému a jeho provedení se předají s dokumentací skutečného provedení.</w:t>
      </w:r>
    </w:p>
    <w:p>
      <w:pPr>
        <w:pStyle w:val="Heading1"/>
      </w:pPr>
      <w:r>
        <w:t>7. Ochrana proti hluku a vibracím</w:t>
      </w:r>
    </w:p>
    <w:p>
      <w:r>
        <w:t>Sací jednotka, výfuk a potrubní rozvod musí být navrženy a provedeny tak, aby při provozu nebyly překročeny hygienické limity hluku a vibrací v chráněných vnitřních a venkovních prostorech. Jednotka se přednostně umisťuje mimo obytné místnosti a mimo konstrukce přímo sousedící s prostory citlivými na hluk, pokud dispozice objektu umožňuje jiné vhodné řešení.</w:t>
      </w:r>
    </w:p>
    <w:p>
      <w:r>
        <w:t>K omezení přenosu hluku se použije vhodné upevnění, oddělení od konstrukcí a případně systémový tlumič výfuku. V bytovém domě je nutné zvlášť posoudit přenos konstrukcí do sousedních bytů a hluk venkovní výústky. Pokud nelze splnění limitů spolehlivě dovodit z technických údajů a umístění, musí být řešení akusticky posouzeno.</w:t>
      </w:r>
    </w:p>
    <w:p>
      <w:pPr>
        <w:pStyle w:val="Heading1"/>
        <w:pageBreakBefore/>
      </w:pPr>
      <w:r>
        <w:t>8. Montáž</w:t>
      </w:r>
    </w:p>
    <w:p>
      <w:r>
        <w:t>Montáž provede dodavatel se znalostí použitého systému a v souladu s výkresem, touto zprávou a montážními předpisy výrobce.</w:t>
      </w:r>
    </w:p>
    <w:p>
      <w:r>
        <w:t>Doporučený postup:</w:t>
      </w:r>
    </w:p>
    <w:p>
      <w:r>
        <w:t>1. koordinace tras a prostupů před zahájením instalace;</w:t>
      </w:r>
    </w:p>
    <w:p>
      <w:r>
        <w:t>2. osazení montážních boxů, potrubí, tvarovek a ovládacího vedení;</w:t>
      </w:r>
    </w:p>
    <w:p>
      <w:r>
        <w:t>3. uzavření všech otevřených konců a ochrana instalace před stavebními nečistotami;</w:t>
      </w:r>
    </w:p>
    <w:p>
      <w:r>
        <w:t>4. kontrola trasy, upevnění, průchodnosti a těsnosti před zakrytím;</w:t>
      </w:r>
    </w:p>
    <w:p>
      <w:r>
        <w:t>5. fotodokumentace a souhlas s zakrytím;</w:t>
      </w:r>
    </w:p>
    <w:p>
      <w:r>
        <w:t>6. osazení koncových prvků po dokončení povrchů;</w:t>
      </w:r>
    </w:p>
    <w:p>
      <w:r>
        <w:t>7. instalace a připojení sací jednotky a případného výfuku;</w:t>
      </w:r>
    </w:p>
    <w:p>
      <w:r>
        <w:t>8. funkční zkoušky, odstranění závad, zaškolení obsluhy a předání.</w:t>
      </w:r>
    </w:p>
    <w:p>
      <w:r>
        <w:t>Při montáži musí být dodrženy požadavky BOZP, podmínky staveniště a pokyny výrobců používaného nářadí, chemických přípravků a výrobků. Odpady vzniklé při montáži se vytřídí a předají v souladu s pravidly stavby a právními předpisy.</w:t>
      </w:r>
    </w:p>
    <w:p>
      <w:pPr>
        <w:pStyle w:val="Heading1"/>
      </w:pPr>
      <w:r>
        <w:t>9. Kontroly zkoušky a uvedení do provozu</w:t>
      </w:r>
    </w:p>
    <w:p>
      <w:r>
        <w:t>Před zakrytím rozvodu se provede nejméně:</w:t>
      </w:r>
    </w:p>
    <w:p>
      <w:pPr>
        <w:pStyle w:val="ListBullet"/>
      </w:pPr>
      <w:r>
        <w:t>vizuální kontrola správnosti trasy, orientace tvarovek, spojů, upevnění a ochrany potrubí;</w:t>
      </w:r>
    </w:p>
    <w:p>
      <w:pPr>
        <w:pStyle w:val="ListBullet"/>
      </w:pPr>
      <w:r>
        <w:t>kontrola průchodnosti všech větví;</w:t>
      </w:r>
    </w:p>
    <w:p>
      <w:pPr>
        <w:pStyle w:val="ListBullet"/>
      </w:pPr>
      <w:r>
        <w:t>zkouška těsnosti podtlakem nebo jinou metodou předepsanou výrobcem;</w:t>
      </w:r>
    </w:p>
    <w:p>
      <w:pPr>
        <w:pStyle w:val="ListBullet"/>
      </w:pPr>
      <w:r>
        <w:t>kontrola ovládacího vedení;</w:t>
      </w:r>
    </w:p>
    <w:p>
      <w:pPr>
        <w:pStyle w:val="ListBullet"/>
      </w:pPr>
      <w:r>
        <w:t>kontrola a dokumentace prostupů konstrukcemi.</w:t>
      </w:r>
    </w:p>
    <w:p>
      <w:r>
        <w:t>Po dokončení se provede nejméně:</w:t>
      </w:r>
    </w:p>
    <w:p>
      <w:pPr>
        <w:pStyle w:val="ListBullet"/>
      </w:pPr>
      <w:r>
        <w:t>kontrola osazení jednotky, zásuvek, speciálních koncových prvků a výfuku;</w:t>
      </w:r>
    </w:p>
    <w:p>
      <w:pPr>
        <w:pStyle w:val="ListBullet"/>
      </w:pPr>
      <w:r>
        <w:t>funkční zkouška spínání ze všech sacích míst;</w:t>
      </w:r>
    </w:p>
    <w:p>
      <w:pPr>
        <w:pStyle w:val="ListBullet"/>
      </w:pPr>
      <w:r>
        <w:t>ověření těsnosti a sací funkce na nejnepříznivějším místě soustavy;</w:t>
      </w:r>
    </w:p>
    <w:p>
      <w:pPr>
        <w:pStyle w:val="ListBullet"/>
      </w:pPr>
      <w:r>
        <w:t>kontrola neobvyklého hluku, vibrací a netěsností;</w:t>
      </w:r>
    </w:p>
    <w:p>
      <w:pPr>
        <w:pStyle w:val="ListBullet"/>
      </w:pPr>
      <w:r>
        <w:t>ověření elektrického připojení v rozsahu příslušejícím elektroinstalaci;</w:t>
      </w:r>
    </w:p>
    <w:p>
      <w:pPr>
        <w:pStyle w:val="ListBullet"/>
      </w:pPr>
      <w:r>
        <w:t>kontrola požárních ucpávek a jejich dokladů, pokud byly provedeny.</w:t>
      </w:r>
    </w:p>
    <w:p>
      <w:r>
        <w:t>Výsledky kontrol a zkoušek se zaznamenají v předávacím nebo zkušebním protokolu. Systém lze uvést do trvalého provozu až po odstranění zjištěných závad.</w:t>
      </w:r>
    </w:p>
    <w:p>
      <w:pPr>
        <w:pStyle w:val="Heading1"/>
        <w:pageBreakBefore/>
      </w:pPr>
      <w:r>
        <w:t>10. Doklady při předání</w:t>
      </w:r>
    </w:p>
    <w:p>
      <w:r>
        <w:t>Dodavatel předá podle rozsahu dodávky zejména:</w:t>
      </w:r>
    </w:p>
    <w:p>
      <w:pPr>
        <w:pStyle w:val="ListBullet"/>
      </w:pPr>
      <w:r>
        <w:t>návod k obsluze a údržbě v českém jazyce;</w:t>
      </w:r>
    </w:p>
    <w:p>
      <w:pPr>
        <w:pStyle w:val="ListBullet"/>
      </w:pPr>
      <w:r>
        <w:t>identifikaci a technický list instalované sací jednotky;</w:t>
      </w:r>
    </w:p>
    <w:p>
      <w:pPr>
        <w:pStyle w:val="ListBullet"/>
      </w:pPr>
      <w:r>
        <w:t>EU prohlášení o shodě a další doklady požadované pro dodané výrobky;</w:t>
      </w:r>
    </w:p>
    <w:p>
      <w:pPr>
        <w:pStyle w:val="ListBullet"/>
      </w:pPr>
      <w:r>
        <w:t>záruční podmínky;</w:t>
      </w:r>
    </w:p>
    <w:p>
      <w:pPr>
        <w:pStyle w:val="ListBullet"/>
      </w:pPr>
      <w:r>
        <w:t>protokol o funkční zkoušce a kontrole těsnosti;</w:t>
      </w:r>
    </w:p>
    <w:p>
      <w:pPr>
        <w:pStyle w:val="ListBullet"/>
      </w:pPr>
      <w:r>
        <w:t>doklady k elektrickému připojení, pokud bylo součástí dodávky;</w:t>
      </w:r>
    </w:p>
    <w:p>
      <w:pPr>
        <w:pStyle w:val="ListBullet"/>
      </w:pPr>
      <w:r>
        <w:t>doklady a označení požárních ucpávek, pokud byly součástí dodávky;</w:t>
      </w:r>
    </w:p>
    <w:p>
      <w:pPr>
        <w:pStyle w:val="ListBullet"/>
      </w:pPr>
      <w:r>
        <w:t>dokumentaci skutečného provedení nebo potvrzený zákres změn.</w:t>
      </w:r>
    </w:p>
    <w:p>
      <w:pPr>
        <w:pStyle w:val="Heading1"/>
      </w:pPr>
      <w:r>
        <w:t>11. Provoz a údržba</w:t>
      </w:r>
    </w:p>
    <w:p>
      <w:r>
        <w:t>Obsluha se řídí návodem výrobce instalované jednotky. Provádí zejména pravidelné vyprazdňování nebo výměnu prachové nádoby či sáčku, kontrolu a údržbu filtrů, kontrolu sacích vstupů a výfuku a servis v intervalech stanovených výrobcem.</w:t>
      </w:r>
    </w:p>
    <w:p>
      <w:r>
        <w:t>Bez výslovného schválení výrobcem se nesmí vysávat voda a jiné kapaliny, žhavý popel, hořící nebo doutnající předměty, hořlavé či výbušné látky, rozpouštědla, agresivní chemikálie, velké množství jemného stavebního prachu ani materiály představující biologické nebo zdravotní riziko.</w:t>
      </w:r>
    </w:p>
    <w:p>
      <w:r>
        <w:t>Při poklesu výkonu se zařízení nesmí dlouhodobě provozovat bez zjištění příčiny. Nejprve se zkontroluje nádoba, filtr, hadice, zásuvky a přístupné části rozvodu; neodstraní-li se závada běžnou údržbou, zajistí se odborný servis.</w:t>
      </w:r>
    </w:p>
    <w:p>
      <w:pPr>
        <w:pStyle w:val="Heading1"/>
      </w:pPr>
      <w:r>
        <w:t>12. Závěr</w:t>
      </w:r>
    </w:p>
    <w:p>
      <w:r>
        <w:t>Navržený centrální vysávací systém je způsobilý k realizaci pouze jako celek této zprávy, projektově specifického výkresu, výpisu prvků, technických podkladů vybraného zařízení a koordinovaných částí stavebního, elektro, požárního a případně vzduchotechnického řešení.</w:t>
      </w:r>
    </w:p>
    <w:p>
      <w:r>
        <w:t>Splnění právních a technických požadavků je podmíněno dodržením projektové dokumentace, použitím vhodných a doložených výrobků, odbornou montáží, provedením předepsaných kontrol a zkoušek a ověřením dokumentace odpovědným projektantem konkrétní stavby. Při změně zařízení, trasy, dimenze, umístění jednotky, způsobu výfuku nebo požárního řešení musí být změna před realizací odborně posouzena a zapracována do dokumentace.</w:t>
      </w:r>
    </w:p>
    <w:p>
      <w:pPr>
        <w:pStyle w:val="Heading2"/>
      </w:pPr>
      <w:r>
        <w:t>Technická podpora</w:t>
      </w:r>
    </w:p>
    <w:p>
      <w:r>
        <w:t>CVS INSTALL · Marek Jírovec</w:t>
        <w:br/>
        <w:t>+420 603 444 588 · marek.jirovec@cvs-install.cz</w:t>
        <w:br/>
        <w:t>www.centralni-vysavaci-systemy.cz</w:t>
      </w:r>
    </w:p>
    <w:p>
      <w:r>
        <w:rPr>
          <w:sz w:val="18"/>
        </w:rPr>
        <w:t>Podpora systému HUSKY / NEWAG: 800 139 076 · info@husky.cz · www.husky.cz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098" w:right="1134" w:bottom="1191" w:left="1134" w:header="454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7937" w:val="left"/>
      </w:tabs>
      <w:spacing w:after="0"/>
    </w:pPr>
    <w:r>
      <w:rPr>
        <w:color w:val="53665B"/>
        <w:sz w:val="16"/>
      </w:rPr>
      <w:t>CVS INSTALL · Technická zpráva HUSKY</w:t>
      <w:tab/>
    </w:r>
    <w:r>
      <w:rPr>
        <w:sz w:val="16"/>
      </w:rPr>
      <w:t xml:space="preserve">Strana </w:t>
    </w:r>
    <w:fldSimple w:instr="PAGE"/>
    <w:r>
      <w:rPr>
        <w:sz w:val="16"/>
      </w:rPr>
      <w:t xml:space="preserve"> / </w:t>
    </w:r>
    <w:fldSimple w:instr="NUMPAGES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2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2835"/>
      <w:gridCol w:w="6803"/>
    </w:tblGrid>
    <w:tr>
      <w:tc>
        <w:tcPr>
          <w:tcW w:type="dxa" w:w="4819"/>
          <w:shd w:fill="183D32"/>
          <w:tcMar>
            <w:top w:w="100" w:type="dxa"/>
            <w:bottom w:w="100" w:type="dxa"/>
            <w:left w:w="100" w:type="dxa"/>
            <w:right w:w="100" w:type="dxa"/>
          </w:tcMar>
        </w:tcPr>
        <w:p>
          <w:r>
            <w:drawing>
              <wp:inline xmlns:a="http://schemas.openxmlformats.org/drawingml/2006/main" xmlns:pic="http://schemas.openxmlformats.org/drawingml/2006/picture">
                <wp:extent cx="1584000" cy="6336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84000" cy="6336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819"/>
          <w:shd w:fill="183D32"/>
          <w:tcMar>
            <w:top w:w="100" w:type="dxa"/>
            <w:bottom w:w="100" w:type="dxa"/>
            <w:left w:w="100" w:type="dxa"/>
            <w:right w:w="100" w:type="dxa"/>
          </w:tcMar>
        </w:tcPr>
        <w:p>
          <w:pPr>
            <w:jc w:val="right"/>
          </w:pPr>
          <w:r>
            <w:rPr>
              <w:b/>
              <w:color w:val="FFFFFF"/>
              <w:sz w:val="22"/>
            </w:rPr>
            <w:t>MAREK JÍROVEC</w:t>
          </w:r>
          <w:r>
            <w:rPr>
              <w:b w:val="0"/>
              <w:color w:val="FFFFFF"/>
              <w:sz w:val="18"/>
            </w:rPr>
            <w:br/>
            <w:t>+420 603 444 588  |  marek.jirovec@cvs-install.cz</w:t>
          </w:r>
          <w:r>
            <w:rPr>
              <w:b w:val="0"/>
              <w:color w:val="FFFFFF"/>
              <w:sz w:val="18"/>
            </w:rPr>
            <w:br/>
            <w:t>www.centralni-vysavaci-systemy.cz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libri" w:hAnsi="Calibri"/>
      <w:color w:val="202A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40" w:line="240" w:lineRule="auto" w:before="22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220" w:after="140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3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80" w:line="252" w:lineRule="auto"/>
    </w:pPr>
    <w:rPr>
      <w:rFonts w:ascii="Calibri" w:hAnsi="Calibri"/>
      <w:color w:val="202A26"/>
      <w:sz w:val="21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52" w:lineRule="auto"/>
      <w:contextualSpacing/>
    </w:pPr>
    <w:rPr>
      <w:rFonts w:ascii="Calibri" w:hAnsi="Calibri"/>
      <w:color w:val="202A26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52" w:lineRule="auto"/>
      <w:contextualSpacing/>
    </w:pPr>
    <w:rPr>
      <w:rFonts w:ascii="Calibri" w:hAnsi="Calibri"/>
      <w:color w:val="202A26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Technická zpráva centrálního vysávacího systému HUSKY</dc:title>
  <dc:subject>Upravitelná šablona podle technického podkladu HUSKY / NEWAG</dc:subject>
  <dc:creator>CVS INSTALL · Marek Jírovec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